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221A2" w14:textId="77777777" w:rsidR="00286F35" w:rsidRPr="00286F35" w:rsidRDefault="00286F35" w:rsidP="00286F35">
      <w:pPr>
        <w:rPr>
          <w:rFonts w:asciiTheme="majorHAnsi" w:hAnsiTheme="majorHAnsi"/>
          <w:b/>
          <w:sz w:val="24"/>
          <w:szCs w:val="24"/>
        </w:rPr>
      </w:pPr>
      <w:r w:rsidRPr="00286F35">
        <w:rPr>
          <w:rFonts w:asciiTheme="majorHAnsi" w:hAnsiTheme="majorHAnsi"/>
          <w:b/>
          <w:sz w:val="24"/>
          <w:szCs w:val="24"/>
        </w:rPr>
        <w:t>Broadway in Chicago</w:t>
      </w:r>
    </w:p>
    <w:p w14:paraId="2FC1092A" w14:textId="77777777" w:rsidR="00286F35" w:rsidRPr="00286F35" w:rsidRDefault="00286F35" w:rsidP="00286F35">
      <w:pPr>
        <w:spacing w:after="283"/>
        <w:rPr>
          <w:rFonts w:asciiTheme="majorHAnsi" w:hAnsiTheme="majorHAnsi"/>
          <w:b/>
          <w:sz w:val="22"/>
          <w:szCs w:val="22"/>
        </w:rPr>
      </w:pPr>
      <w:r w:rsidRPr="00286F35">
        <w:rPr>
          <w:rFonts w:asciiTheme="majorHAnsi" w:hAnsiTheme="majorHAnsi"/>
          <w:b/>
          <w:sz w:val="22"/>
          <w:szCs w:val="22"/>
        </w:rPr>
        <w:t>Choice of Broadway Show, Dinner, 2-Night Stay at The Talbott Hotel for 2</w:t>
      </w:r>
    </w:p>
    <w:p w14:paraId="1B894FE0"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This Experience Includes:</w:t>
      </w:r>
    </w:p>
    <w:p w14:paraId="7DCA0004" w14:textId="77777777" w:rsidR="00286F35" w:rsidRPr="00286F35" w:rsidRDefault="00286F35" w:rsidP="00286F35">
      <w:pPr>
        <w:numPr>
          <w:ilvl w:val="0"/>
          <w:numId w:val="1"/>
        </w:numPr>
        <w:spacing w:after="0" w:line="360" w:lineRule="auto"/>
        <w:rPr>
          <w:rFonts w:asciiTheme="majorHAnsi" w:hAnsiTheme="majorHAnsi"/>
          <w:bCs/>
          <w:sz w:val="22"/>
          <w:szCs w:val="22"/>
        </w:rPr>
      </w:pPr>
      <w:r w:rsidRPr="00286F35">
        <w:rPr>
          <w:rFonts w:asciiTheme="majorHAnsi" w:hAnsiTheme="majorHAnsi"/>
          <w:bCs/>
          <w:sz w:val="22"/>
          <w:szCs w:val="22"/>
        </w:rPr>
        <w:t>2 Premium Orchestra tickets to one Broadway show of your choice</w:t>
      </w:r>
    </w:p>
    <w:p w14:paraId="496F89C5" w14:textId="77777777" w:rsidR="00286F35" w:rsidRPr="00286F35" w:rsidRDefault="00286F35" w:rsidP="00286F35">
      <w:pPr>
        <w:numPr>
          <w:ilvl w:val="0"/>
          <w:numId w:val="1"/>
        </w:numPr>
        <w:spacing w:after="0" w:line="360" w:lineRule="auto"/>
        <w:rPr>
          <w:rFonts w:asciiTheme="majorHAnsi" w:hAnsiTheme="majorHAnsi"/>
          <w:bCs/>
          <w:sz w:val="22"/>
          <w:szCs w:val="22"/>
        </w:rPr>
      </w:pPr>
      <w:r w:rsidRPr="00286F35">
        <w:rPr>
          <w:rFonts w:asciiTheme="majorHAnsi" w:hAnsiTheme="majorHAnsi"/>
          <w:bCs/>
          <w:sz w:val="22"/>
          <w:szCs w:val="22"/>
        </w:rPr>
        <w:t>Dinner for 2 at your choice of participating Chicago restaurants</w:t>
      </w:r>
    </w:p>
    <w:p w14:paraId="57052F32" w14:textId="77777777" w:rsidR="00286F35" w:rsidRPr="00286F35" w:rsidRDefault="00286F35" w:rsidP="00286F35">
      <w:pPr>
        <w:numPr>
          <w:ilvl w:val="0"/>
          <w:numId w:val="1"/>
        </w:numPr>
        <w:spacing w:after="0" w:line="360" w:lineRule="auto"/>
        <w:rPr>
          <w:rFonts w:asciiTheme="majorHAnsi" w:hAnsiTheme="majorHAnsi"/>
          <w:bCs/>
          <w:sz w:val="22"/>
          <w:szCs w:val="22"/>
        </w:rPr>
      </w:pPr>
      <w:r w:rsidRPr="00286F35">
        <w:rPr>
          <w:rFonts w:asciiTheme="majorHAnsi" w:hAnsiTheme="majorHAnsi"/>
          <w:bCs/>
          <w:sz w:val="22"/>
          <w:szCs w:val="22"/>
        </w:rPr>
        <w:t>2-night stay in a standard room at The Talbott Hotel</w:t>
      </w:r>
    </w:p>
    <w:p w14:paraId="7CF068D4" w14:textId="77777777" w:rsidR="00286F35" w:rsidRPr="00286F35" w:rsidRDefault="00286F35" w:rsidP="00286F35">
      <w:pPr>
        <w:numPr>
          <w:ilvl w:val="0"/>
          <w:numId w:val="1"/>
        </w:numPr>
        <w:spacing w:after="0" w:line="360" w:lineRule="auto"/>
        <w:rPr>
          <w:rFonts w:asciiTheme="majorHAnsi" w:hAnsiTheme="majorHAnsi"/>
          <w:bCs/>
          <w:sz w:val="22"/>
          <w:szCs w:val="22"/>
        </w:rPr>
      </w:pPr>
      <w:proofErr w:type="spellStart"/>
      <w:r w:rsidRPr="00286F35">
        <w:rPr>
          <w:rFonts w:asciiTheme="majorHAnsi" w:hAnsiTheme="majorHAnsi"/>
          <w:bCs/>
          <w:sz w:val="22"/>
          <w:szCs w:val="22"/>
        </w:rPr>
        <w:t>Winspire</w:t>
      </w:r>
      <w:proofErr w:type="spellEnd"/>
      <w:r w:rsidRPr="00286F35">
        <w:rPr>
          <w:rFonts w:asciiTheme="majorHAnsi" w:hAnsiTheme="majorHAnsi"/>
          <w:bCs/>
          <w:sz w:val="22"/>
          <w:szCs w:val="22"/>
        </w:rPr>
        <w:t xml:space="preserve"> booking &amp; concierge service</w:t>
      </w:r>
    </w:p>
    <w:p w14:paraId="4A5D4EE8"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Chicago’s theater scene is one of the seven wonders of this vibrant city. It’s so woven into the urban neighborhoods that it has become part of the fabric of Chicago. Move over, New York, because Chicago’s Broadway scene is giving you a run for your money!</w:t>
      </w:r>
    </w:p>
    <w:p w14:paraId="27D34667" w14:textId="77777777" w:rsidR="00286F35" w:rsidRDefault="00286F35" w:rsidP="00286F35">
      <w:pPr>
        <w:spacing w:after="283"/>
        <w:rPr>
          <w:rFonts w:asciiTheme="majorHAnsi" w:hAnsiTheme="majorHAnsi"/>
          <w:bCs/>
          <w:sz w:val="22"/>
          <w:szCs w:val="22"/>
        </w:rPr>
      </w:pPr>
      <w:r w:rsidRPr="00286F35">
        <w:rPr>
          <w:rFonts w:asciiTheme="majorHAnsi" w:hAnsiTheme="majorHAnsi"/>
          <w:bCs/>
          <w:sz w:val="22"/>
          <w:szCs w:val="22"/>
          <w:u w:val="single"/>
        </w:rPr>
        <w:t>Theater Tickets</w:t>
      </w:r>
    </w:p>
    <w:p w14:paraId="025715B5" w14:textId="435826BF"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Enjoy two Premium Orchestra tickets (first 15 rows center section) to your choice of one of the exciting shows in Chicago’s bustling Downtown Theater District, subject to availability. Select from a range of musicals and plays on the stages of five of the finest theatres in Chicago’s Loop, including the CIBC Theatre, The James M. Nederlander Theatre, Cadillac Palace Theatre, Auditorium Theatre of Roosevelt University, and just off the Magnificent Mile, the Broadway Playhouse at Water Tower Place.</w:t>
      </w:r>
    </w:p>
    <w:p w14:paraId="2F0D3E1B" w14:textId="07A829F6"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Some current and upcoming productions</w:t>
      </w:r>
      <w:r>
        <w:rPr>
          <w:rFonts w:asciiTheme="majorHAnsi" w:hAnsiTheme="majorHAnsi"/>
          <w:bCs/>
          <w:sz w:val="22"/>
          <w:szCs w:val="22"/>
        </w:rPr>
        <w:t xml:space="preserve"> </w:t>
      </w:r>
      <w:proofErr w:type="gramStart"/>
      <w:r>
        <w:rPr>
          <w:rFonts w:asciiTheme="majorHAnsi" w:hAnsiTheme="majorHAnsi"/>
          <w:bCs/>
          <w:sz w:val="22"/>
          <w:szCs w:val="22"/>
        </w:rPr>
        <w:t>Les</w:t>
      </w:r>
      <w:proofErr w:type="gramEnd"/>
      <w:r>
        <w:rPr>
          <w:rFonts w:asciiTheme="majorHAnsi" w:hAnsiTheme="majorHAnsi"/>
          <w:bCs/>
          <w:sz w:val="22"/>
          <w:szCs w:val="22"/>
        </w:rPr>
        <w:t xml:space="preserve"> </w:t>
      </w:r>
      <w:proofErr w:type="spellStart"/>
      <w:r>
        <w:rPr>
          <w:rFonts w:asciiTheme="majorHAnsi" w:hAnsiTheme="majorHAnsi"/>
          <w:bCs/>
          <w:sz w:val="22"/>
          <w:szCs w:val="22"/>
        </w:rPr>
        <w:t>Miserables</w:t>
      </w:r>
      <w:proofErr w:type="spellEnd"/>
      <w:r>
        <w:rPr>
          <w:rFonts w:asciiTheme="majorHAnsi" w:hAnsiTheme="majorHAnsi"/>
          <w:bCs/>
          <w:sz w:val="22"/>
          <w:szCs w:val="22"/>
        </w:rPr>
        <w:t xml:space="preserve">, Come </w:t>
      </w:r>
      <w:proofErr w:type="gramStart"/>
      <w:r>
        <w:rPr>
          <w:rFonts w:asciiTheme="majorHAnsi" w:hAnsiTheme="majorHAnsi"/>
          <w:bCs/>
          <w:sz w:val="22"/>
          <w:szCs w:val="22"/>
        </w:rPr>
        <w:t>From</w:t>
      </w:r>
      <w:proofErr w:type="gramEnd"/>
      <w:r>
        <w:rPr>
          <w:rFonts w:asciiTheme="majorHAnsi" w:hAnsiTheme="majorHAnsi"/>
          <w:bCs/>
          <w:sz w:val="22"/>
          <w:szCs w:val="22"/>
        </w:rPr>
        <w:t xml:space="preserve"> Away, Beetlejuice, Moulin Rouge, Harry Potter and the Cursed Child. </w:t>
      </w:r>
      <w:r w:rsidRPr="00286F35">
        <w:rPr>
          <w:rFonts w:asciiTheme="majorHAnsi" w:hAnsiTheme="majorHAnsi"/>
          <w:bCs/>
          <w:sz w:val="22"/>
          <w:szCs w:val="22"/>
        </w:rPr>
        <w:t>Shows are subject to change and are based on availability.</w:t>
      </w:r>
    </w:p>
    <w:p w14:paraId="2A147085"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u w:val="single"/>
        </w:rPr>
        <w:t>Chicago Casual Dining</w:t>
      </w:r>
    </w:p>
    <w:p w14:paraId="6D2D6891"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Enjoy a total of $150 in gift cards towards dining at your choice of iconic Chicago concepts, including:</w:t>
      </w:r>
    </w:p>
    <w:p w14:paraId="74DF632B" w14:textId="75797DA6"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 Bub City® - BBQ, beer, bourbon, and the best of country music</w:t>
      </w:r>
    </w:p>
    <w:p w14:paraId="38EC69F3"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Cafe Ba-Ba-Reeba® - Authentic Spanish cuisine in a lively, vibrant atmosphere</w:t>
      </w:r>
    </w:p>
    <w:p w14:paraId="60A96D76"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 xml:space="preserve">Mon Ami </w:t>
      </w:r>
      <w:proofErr w:type="spellStart"/>
      <w:r w:rsidRPr="00286F35">
        <w:rPr>
          <w:rFonts w:asciiTheme="majorHAnsi" w:hAnsiTheme="majorHAnsi"/>
          <w:bCs/>
          <w:sz w:val="22"/>
          <w:szCs w:val="22"/>
        </w:rPr>
        <w:t>Gabit</w:t>
      </w:r>
      <w:proofErr w:type="spellEnd"/>
      <w:r w:rsidRPr="00286F35">
        <w:rPr>
          <w:rFonts w:asciiTheme="majorHAnsi" w:hAnsiTheme="majorHAnsi"/>
          <w:bCs/>
          <w:sz w:val="22"/>
          <w:szCs w:val="22"/>
        </w:rPr>
        <w:t>® - Classic French Bistro tucked away in Lincoln Park</w:t>
      </w:r>
    </w:p>
    <w:p w14:paraId="5ED92E11"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Hub 51® - Modern American food in a hip, casual environment</w:t>
      </w:r>
    </w:p>
    <w:p w14:paraId="4CC93916"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Aba® - Hib, a Mediterranean restaurant in Chicago's historic Fulton Market district </w:t>
      </w:r>
    </w:p>
    <w:p w14:paraId="5E9FE4F2"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Ramen-</w:t>
      </w:r>
      <w:proofErr w:type="spellStart"/>
      <w:r w:rsidRPr="00286F35">
        <w:rPr>
          <w:rFonts w:asciiTheme="majorHAnsi" w:hAnsiTheme="majorHAnsi"/>
          <w:bCs/>
          <w:sz w:val="22"/>
          <w:szCs w:val="22"/>
        </w:rPr>
        <w:t>san</w:t>
      </w:r>
      <w:proofErr w:type="spellEnd"/>
      <w:r w:rsidRPr="00286F35">
        <w:rPr>
          <w:rFonts w:asciiTheme="majorHAnsi" w:hAnsiTheme="majorHAnsi"/>
          <w:bCs/>
          <w:sz w:val="22"/>
          <w:szCs w:val="22"/>
        </w:rPr>
        <w:t>™ - Ramen noodles reminiscent of traditional ramen shops in Japan</w:t>
      </w:r>
    </w:p>
    <w:p w14:paraId="371EFD98"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RPM Steak® - Modern chef-driven steakhouse in partnership with Bill and Giuliana Rancic</w:t>
      </w:r>
    </w:p>
    <w:p w14:paraId="3AF3765A"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Shaw's Crab House® - Jazzy, sophisticated seafood restaurant, and a carefree, lively oyster bar</w:t>
      </w:r>
    </w:p>
    <w:p w14:paraId="29103523"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lastRenderedPageBreak/>
        <w:t xml:space="preserve">Tallboy Taco® - Casual taqueria </w:t>
      </w:r>
      <w:proofErr w:type="spellStart"/>
      <w:r w:rsidRPr="00286F35">
        <w:rPr>
          <w:rFonts w:asciiTheme="majorHAnsi" w:hAnsiTheme="majorHAnsi"/>
          <w:bCs/>
          <w:sz w:val="22"/>
          <w:szCs w:val="22"/>
        </w:rPr>
        <w:t>oin</w:t>
      </w:r>
      <w:proofErr w:type="spellEnd"/>
      <w:r w:rsidRPr="00286F35">
        <w:rPr>
          <w:rFonts w:asciiTheme="majorHAnsi" w:hAnsiTheme="majorHAnsi"/>
          <w:bCs/>
          <w:sz w:val="22"/>
          <w:szCs w:val="22"/>
        </w:rPr>
        <w:t xml:space="preserve"> the heart of </w:t>
      </w:r>
      <w:proofErr w:type="spellStart"/>
      <w:r w:rsidRPr="00286F35">
        <w:rPr>
          <w:rFonts w:asciiTheme="majorHAnsi" w:hAnsiTheme="majorHAnsi"/>
          <w:bCs/>
          <w:sz w:val="22"/>
          <w:szCs w:val="22"/>
        </w:rPr>
        <w:t>Streeterville</w:t>
      </w:r>
      <w:proofErr w:type="spellEnd"/>
    </w:p>
    <w:p w14:paraId="6DD33C67"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Participating restaurants are subject to change. Lettuce Entertain You gift cards may be used towards food, alcohol, tax, and gratuity.</w:t>
      </w:r>
    </w:p>
    <w:p w14:paraId="5BC14090"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u w:val="single"/>
        </w:rPr>
        <w:t>The Talbott Hotel, Chicago</w:t>
      </w:r>
    </w:p>
    <w:p w14:paraId="1FD6CBFA" w14:textId="77777777" w:rsid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 xml:space="preserve">Enjoy a 2-night stay in a standard room. Located in the heart of Chicago’s Gold Coast and an easy walk to many of the city’s most popular destinations, including The Magnificent Mile, Oak Street Beach, and 360 CHICAGO observation deck in the iconic John Hancock Building. The Red Line is just steps away to take you to Wrigley Field, Navy Pier, or Chicago Riverwalk. The Talbott offers an intimate experience &amp; personalized service, featuring 178 elegant guestrooms, including 40 suites. Guests are offered a variety of amenities and perks, including Complimentary bottled water upon arrival, in-room coffee by </w:t>
      </w:r>
      <w:proofErr w:type="spellStart"/>
      <w:r w:rsidRPr="00286F35">
        <w:rPr>
          <w:rFonts w:asciiTheme="majorHAnsi" w:hAnsiTheme="majorHAnsi"/>
          <w:bCs/>
          <w:sz w:val="22"/>
          <w:szCs w:val="22"/>
        </w:rPr>
        <w:t>Tayst</w:t>
      </w:r>
      <w:proofErr w:type="spellEnd"/>
      <w:r w:rsidRPr="00286F35">
        <w:rPr>
          <w:rFonts w:asciiTheme="majorHAnsi" w:hAnsiTheme="majorHAnsi"/>
          <w:bCs/>
          <w:sz w:val="22"/>
          <w:szCs w:val="22"/>
        </w:rPr>
        <w:t xml:space="preserve">, wi-fi throughout the hotel, and a fitness center open 24/7 featuring a peloton bike and </w:t>
      </w:r>
      <w:proofErr w:type="spellStart"/>
      <w:r w:rsidRPr="00286F35">
        <w:rPr>
          <w:rFonts w:asciiTheme="majorHAnsi" w:hAnsiTheme="majorHAnsi"/>
          <w:bCs/>
          <w:sz w:val="22"/>
          <w:szCs w:val="22"/>
        </w:rPr>
        <w:t>Flowater</w:t>
      </w:r>
      <w:proofErr w:type="spellEnd"/>
      <w:r w:rsidRPr="00286F35">
        <w:rPr>
          <w:rFonts w:asciiTheme="majorHAnsi" w:hAnsiTheme="majorHAnsi"/>
          <w:bCs/>
          <w:sz w:val="22"/>
          <w:szCs w:val="22"/>
        </w:rPr>
        <w:t xml:space="preserve"> purified refill station. </w:t>
      </w:r>
    </w:p>
    <w:p w14:paraId="6861FF87" w14:textId="2D309000" w:rsidR="00286F35" w:rsidRPr="00286F35" w:rsidRDefault="00286F35" w:rsidP="00286F35">
      <w:pPr>
        <w:spacing w:after="283"/>
        <w:rPr>
          <w:rFonts w:asciiTheme="majorHAnsi" w:hAnsiTheme="majorHAnsi"/>
          <w:bCs/>
          <w:sz w:val="22"/>
          <w:szCs w:val="22"/>
        </w:rPr>
      </w:pPr>
      <w:r>
        <w:rPr>
          <w:rFonts w:asciiTheme="majorHAnsi" w:hAnsiTheme="majorHAnsi"/>
          <w:bCs/>
          <w:sz w:val="22"/>
          <w:szCs w:val="22"/>
        </w:rPr>
        <w:t xml:space="preserve">Blackout dates may apply. </w:t>
      </w:r>
    </w:p>
    <w:p w14:paraId="0E5BEC5F"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u w:val="single"/>
        </w:rPr>
        <w:t>WINSPIRE PACKAGE REDEMPTION:</w:t>
      </w:r>
    </w:p>
    <w:p w14:paraId="7787B4FA" w14:textId="77777777" w:rsidR="00286F35" w:rsidRPr="00286F35" w:rsidRDefault="00286F35" w:rsidP="00286F35">
      <w:pPr>
        <w:spacing w:after="283"/>
        <w:rPr>
          <w:rFonts w:asciiTheme="majorHAnsi" w:hAnsiTheme="majorHAnsi"/>
          <w:bCs/>
          <w:sz w:val="22"/>
          <w:szCs w:val="22"/>
        </w:rPr>
      </w:pPr>
      <w:proofErr w:type="spellStart"/>
      <w:r w:rsidRPr="00286F35">
        <w:rPr>
          <w:rFonts w:asciiTheme="majorHAnsi" w:hAnsiTheme="majorHAnsi"/>
          <w:bCs/>
          <w:sz w:val="22"/>
          <w:szCs w:val="22"/>
        </w:rPr>
        <w:t>Winspire</w:t>
      </w:r>
      <w:proofErr w:type="spellEnd"/>
      <w:r w:rsidRPr="00286F35">
        <w:rPr>
          <w:rFonts w:asciiTheme="majorHAnsi" w:hAnsiTheme="majorHAnsi"/>
          <w:bCs/>
          <w:sz w:val="22"/>
          <w:szCs w:val="22"/>
        </w:rPr>
        <w:t xml:space="preserve"> Travel packages and experiences must be booked within one year of the purchase date. The actual travel date must occur within two years of the purchase date.</w:t>
      </w:r>
    </w:p>
    <w:p w14:paraId="2C36CB10"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 </w:t>
      </w:r>
      <w:r w:rsidRPr="00286F35">
        <w:rPr>
          <w:rFonts w:asciiTheme="majorHAnsi" w:hAnsiTheme="majorHAnsi"/>
          <w:bCs/>
          <w:sz w:val="22"/>
          <w:szCs w:val="22"/>
          <w:u w:val="single"/>
        </w:rPr>
        <w:t>WINSPIRE BOOKING &amp; CONCIERGE SERVICES:</w:t>
      </w:r>
    </w:p>
    <w:p w14:paraId="4D19028C" w14:textId="77777777" w:rsidR="00286F35" w:rsidRPr="00286F35" w:rsidRDefault="00286F35" w:rsidP="00286F35">
      <w:pPr>
        <w:spacing w:after="283"/>
        <w:rPr>
          <w:rFonts w:asciiTheme="majorHAnsi" w:hAnsiTheme="majorHAnsi"/>
          <w:bCs/>
          <w:sz w:val="22"/>
          <w:szCs w:val="22"/>
        </w:rPr>
      </w:pPr>
      <w:proofErr w:type="spellStart"/>
      <w:r w:rsidRPr="00286F35">
        <w:rPr>
          <w:rFonts w:asciiTheme="majorHAnsi" w:hAnsiTheme="majorHAnsi"/>
          <w:bCs/>
          <w:sz w:val="22"/>
          <w:szCs w:val="22"/>
        </w:rPr>
        <w:t>Winspire</w:t>
      </w:r>
      <w:proofErr w:type="spellEnd"/>
      <w:r w:rsidRPr="00286F35">
        <w:rPr>
          <w:rFonts w:asciiTheme="majorHAnsi" w:hAnsiTheme="majorHAnsi"/>
          <w:bCs/>
          <w:sz w:val="22"/>
          <w:szCs w:val="22"/>
        </w:rPr>
        <w:t xml:space="preserve"> provides a team of seasoned travel professionals to help you redeem your experience. We will book all travel-related details and reservations for every part of your experience. Included within our services, </w:t>
      </w:r>
      <w:proofErr w:type="spellStart"/>
      <w:r w:rsidRPr="00286F35">
        <w:rPr>
          <w:rFonts w:asciiTheme="majorHAnsi" w:hAnsiTheme="majorHAnsi"/>
          <w:bCs/>
          <w:sz w:val="22"/>
          <w:szCs w:val="22"/>
        </w:rPr>
        <w:t>Winspire</w:t>
      </w:r>
      <w:proofErr w:type="spellEnd"/>
      <w:r w:rsidRPr="00286F35">
        <w:rPr>
          <w:rFonts w:asciiTheme="majorHAnsi" w:hAnsiTheme="majorHAnsi"/>
          <w:bCs/>
          <w:sz w:val="22"/>
          <w:szCs w:val="22"/>
        </w:rPr>
        <w:t xml:space="preserve"> can assist with extra hotel nights, airfare, and additional guests as a full-service travel agency. </w:t>
      </w:r>
    </w:p>
    <w:p w14:paraId="5383979D"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 </w:t>
      </w:r>
      <w:r w:rsidRPr="00286F35">
        <w:rPr>
          <w:rFonts w:asciiTheme="majorHAnsi" w:hAnsiTheme="majorHAnsi"/>
          <w:bCs/>
          <w:sz w:val="22"/>
          <w:szCs w:val="22"/>
          <w:u w:val="single"/>
        </w:rPr>
        <w:t>ADDITIONAL INFORMATION:</w:t>
      </w:r>
    </w:p>
    <w:p w14:paraId="7A5C4B4E" w14:textId="77777777"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Reservations are subject to availability, blackout dates, and major holidays. Reservations must be booked 60 days in advance of travel. Purchases through charity fundraisers are non-refundable.</w:t>
      </w:r>
    </w:p>
    <w:p w14:paraId="41C1F768" w14:textId="15634D98" w:rsidR="00286F35" w:rsidRPr="00286F35" w:rsidRDefault="00286F35" w:rsidP="00286F35">
      <w:pPr>
        <w:spacing w:after="283"/>
        <w:rPr>
          <w:rFonts w:asciiTheme="majorHAnsi" w:hAnsiTheme="majorHAnsi"/>
          <w:bCs/>
          <w:sz w:val="22"/>
          <w:szCs w:val="22"/>
        </w:rPr>
      </w:pPr>
      <w:r w:rsidRPr="00286F35">
        <w:rPr>
          <w:rFonts w:asciiTheme="majorHAnsi" w:hAnsiTheme="majorHAnsi"/>
          <w:bCs/>
          <w:sz w:val="22"/>
          <w:szCs w:val="22"/>
        </w:rPr>
        <w:t xml:space="preserve">Certificates </w:t>
      </w:r>
      <w:r w:rsidRPr="00286F35">
        <w:rPr>
          <w:rFonts w:asciiTheme="majorHAnsi" w:hAnsiTheme="majorHAnsi"/>
          <w:bCs/>
          <w:sz w:val="22"/>
          <w:szCs w:val="22"/>
        </w:rPr>
        <w:t>cannot</w:t>
      </w:r>
      <w:r w:rsidRPr="00286F35">
        <w:rPr>
          <w:rFonts w:asciiTheme="majorHAnsi" w:hAnsiTheme="majorHAnsi"/>
          <w:bCs/>
          <w:sz w:val="22"/>
          <w:szCs w:val="22"/>
        </w:rPr>
        <w:t xml:space="preserve"> be resold or replaced if lost, stolen, or destroyed. Ground transportation is the responsibility of the winner unless otherwise stated.</w:t>
      </w:r>
    </w:p>
    <w:p w14:paraId="45B437ED" w14:textId="77777777" w:rsidR="00C34B61" w:rsidRPr="00286F35" w:rsidRDefault="00C34B61">
      <w:pPr>
        <w:rPr>
          <w:rFonts w:asciiTheme="majorHAnsi" w:hAnsiTheme="majorHAnsi"/>
          <w:bCs/>
          <w:sz w:val="22"/>
          <w:szCs w:val="22"/>
        </w:rPr>
      </w:pPr>
    </w:p>
    <w:sectPr w:rsidR="00C34B61" w:rsidRPr="00286F35" w:rsidSect="00286F35">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FD8E0A0"/>
    <w:multiLevelType w:val="hybridMultilevel"/>
    <w:tmpl w:val="409E3DCC"/>
    <w:lvl w:ilvl="0" w:tplc="1D941FD8">
      <w:start w:val="1"/>
      <w:numFmt w:val="bullet"/>
      <w:lvlText w:val=""/>
      <w:lvlJc w:val="left"/>
      <w:pPr>
        <w:tabs>
          <w:tab w:val="num" w:pos="720"/>
        </w:tabs>
        <w:ind w:left="720" w:hanging="360"/>
      </w:pPr>
      <w:rPr>
        <w:rFonts w:ascii="Symbol" w:hAnsi="Symbol" w:cs="Symbol" w:hint="default"/>
      </w:rPr>
    </w:lvl>
    <w:lvl w:ilvl="1" w:tplc="1DAA58D2">
      <w:start w:val="1"/>
      <w:numFmt w:val="bullet"/>
      <w:lvlText w:val="o"/>
      <w:lvlJc w:val="left"/>
      <w:pPr>
        <w:tabs>
          <w:tab w:val="num" w:pos="1440"/>
        </w:tabs>
        <w:ind w:left="1440" w:hanging="360"/>
      </w:pPr>
      <w:rPr>
        <w:rFonts w:ascii="Courier New" w:hAnsi="Courier New" w:cs="Courier New" w:hint="default"/>
      </w:rPr>
    </w:lvl>
    <w:lvl w:ilvl="2" w:tplc="C4382648">
      <w:start w:val="1"/>
      <w:numFmt w:val="bullet"/>
      <w:lvlText w:val=""/>
      <w:lvlJc w:val="left"/>
      <w:pPr>
        <w:tabs>
          <w:tab w:val="num" w:pos="2160"/>
        </w:tabs>
        <w:ind w:left="2160" w:hanging="360"/>
      </w:pPr>
      <w:rPr>
        <w:rFonts w:ascii="Wingdings" w:hAnsi="Wingdings" w:cs="Wingdings" w:hint="default"/>
      </w:rPr>
    </w:lvl>
    <w:lvl w:ilvl="3" w:tplc="0108CE16">
      <w:start w:val="1"/>
      <w:numFmt w:val="bullet"/>
      <w:lvlText w:val=""/>
      <w:lvlJc w:val="left"/>
      <w:pPr>
        <w:tabs>
          <w:tab w:val="num" w:pos="2880"/>
        </w:tabs>
        <w:ind w:left="2880" w:hanging="360"/>
      </w:pPr>
      <w:rPr>
        <w:rFonts w:ascii="Symbol" w:hAnsi="Symbol" w:cs="Symbol" w:hint="default"/>
      </w:rPr>
    </w:lvl>
    <w:lvl w:ilvl="4" w:tplc="966C45A6">
      <w:start w:val="1"/>
      <w:numFmt w:val="bullet"/>
      <w:lvlText w:val="o"/>
      <w:lvlJc w:val="left"/>
      <w:pPr>
        <w:tabs>
          <w:tab w:val="num" w:pos="3600"/>
        </w:tabs>
        <w:ind w:left="3600" w:hanging="360"/>
      </w:pPr>
      <w:rPr>
        <w:rFonts w:ascii="Courier New" w:hAnsi="Courier New" w:cs="Courier New" w:hint="default"/>
      </w:rPr>
    </w:lvl>
    <w:lvl w:ilvl="5" w:tplc="671C0396">
      <w:start w:val="1"/>
      <w:numFmt w:val="bullet"/>
      <w:lvlText w:val=""/>
      <w:lvlJc w:val="left"/>
      <w:pPr>
        <w:tabs>
          <w:tab w:val="num" w:pos="4320"/>
        </w:tabs>
        <w:ind w:left="4320" w:hanging="360"/>
      </w:pPr>
      <w:rPr>
        <w:rFonts w:ascii="Wingdings" w:hAnsi="Wingdings" w:cs="Wingdings" w:hint="default"/>
      </w:rPr>
    </w:lvl>
    <w:lvl w:ilvl="6" w:tplc="DB8C44FA">
      <w:start w:val="1"/>
      <w:numFmt w:val="bullet"/>
      <w:lvlText w:val=""/>
      <w:lvlJc w:val="left"/>
      <w:pPr>
        <w:tabs>
          <w:tab w:val="num" w:pos="5040"/>
        </w:tabs>
        <w:ind w:left="5040" w:hanging="360"/>
      </w:pPr>
      <w:rPr>
        <w:rFonts w:ascii="Symbol" w:hAnsi="Symbol" w:cs="Symbol" w:hint="default"/>
      </w:rPr>
    </w:lvl>
    <w:lvl w:ilvl="7" w:tplc="94FA9FC6">
      <w:start w:val="1"/>
      <w:numFmt w:val="bullet"/>
      <w:lvlText w:val="o"/>
      <w:lvlJc w:val="left"/>
      <w:pPr>
        <w:tabs>
          <w:tab w:val="num" w:pos="5760"/>
        </w:tabs>
        <w:ind w:left="5760" w:hanging="360"/>
      </w:pPr>
      <w:rPr>
        <w:rFonts w:ascii="Courier New" w:hAnsi="Courier New" w:cs="Courier New" w:hint="default"/>
      </w:rPr>
    </w:lvl>
    <w:lvl w:ilvl="8" w:tplc="DEB8ED3A">
      <w:start w:val="1"/>
      <w:numFmt w:val="bullet"/>
      <w:lvlText w:val=""/>
      <w:lvlJc w:val="left"/>
      <w:pPr>
        <w:tabs>
          <w:tab w:val="num" w:pos="6480"/>
        </w:tabs>
        <w:ind w:left="6480" w:hanging="360"/>
      </w:pPr>
      <w:rPr>
        <w:rFonts w:ascii="Wingdings" w:hAnsi="Wingdings" w:cs="Wingdings" w:hint="default"/>
      </w:rPr>
    </w:lvl>
  </w:abstractNum>
  <w:num w:numId="1" w16cid:durableId="52868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F35"/>
    <w:rsid w:val="00286F35"/>
    <w:rsid w:val="0061102B"/>
    <w:rsid w:val="00940623"/>
    <w:rsid w:val="00C34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BD036"/>
  <w15:chartTrackingRefBased/>
  <w15:docId w15:val="{27471159-A6BB-4560-8873-2A3B72A5C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F35"/>
    <w:pPr>
      <w:spacing w:line="278" w:lineRule="auto"/>
    </w:pPr>
    <w:rPr>
      <w:rFonts w:ascii="Arial" w:eastAsia="Arial" w:hAnsi="Arial" w:cs="Arial"/>
      <w:kern w:val="0"/>
      <w:sz w:val="20"/>
      <w:szCs w:val="20"/>
      <w14:ligatures w14:val="none"/>
    </w:rPr>
  </w:style>
  <w:style w:type="paragraph" w:styleId="Heading1">
    <w:name w:val="heading 1"/>
    <w:basedOn w:val="Normal"/>
    <w:next w:val="Normal"/>
    <w:link w:val="Heading1Char"/>
    <w:uiPriority w:val="9"/>
    <w:qFormat/>
    <w:rsid w:val="00286F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6F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6F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6F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6F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6F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6F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6F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6F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F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6F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6F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6F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6F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6F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6F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6F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6F35"/>
    <w:rPr>
      <w:rFonts w:eastAsiaTheme="majorEastAsia" w:cstheme="majorBidi"/>
      <w:color w:val="272727" w:themeColor="text1" w:themeTint="D8"/>
    </w:rPr>
  </w:style>
  <w:style w:type="paragraph" w:styleId="Title">
    <w:name w:val="Title"/>
    <w:basedOn w:val="Normal"/>
    <w:next w:val="Normal"/>
    <w:link w:val="TitleChar"/>
    <w:uiPriority w:val="10"/>
    <w:qFormat/>
    <w:rsid w:val="00286F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6F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6F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6F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6F35"/>
    <w:pPr>
      <w:spacing w:before="160"/>
      <w:jc w:val="center"/>
    </w:pPr>
    <w:rPr>
      <w:i/>
      <w:iCs/>
      <w:color w:val="404040" w:themeColor="text1" w:themeTint="BF"/>
    </w:rPr>
  </w:style>
  <w:style w:type="character" w:customStyle="1" w:styleId="QuoteChar">
    <w:name w:val="Quote Char"/>
    <w:basedOn w:val="DefaultParagraphFont"/>
    <w:link w:val="Quote"/>
    <w:uiPriority w:val="29"/>
    <w:rsid w:val="00286F35"/>
    <w:rPr>
      <w:i/>
      <w:iCs/>
      <w:color w:val="404040" w:themeColor="text1" w:themeTint="BF"/>
    </w:rPr>
  </w:style>
  <w:style w:type="paragraph" w:styleId="ListParagraph">
    <w:name w:val="List Paragraph"/>
    <w:basedOn w:val="Normal"/>
    <w:uiPriority w:val="34"/>
    <w:qFormat/>
    <w:rsid w:val="00286F35"/>
    <w:pPr>
      <w:ind w:left="720"/>
      <w:contextualSpacing/>
    </w:pPr>
  </w:style>
  <w:style w:type="character" w:styleId="IntenseEmphasis">
    <w:name w:val="Intense Emphasis"/>
    <w:basedOn w:val="DefaultParagraphFont"/>
    <w:uiPriority w:val="21"/>
    <w:qFormat/>
    <w:rsid w:val="00286F35"/>
    <w:rPr>
      <w:i/>
      <w:iCs/>
      <w:color w:val="0F4761" w:themeColor="accent1" w:themeShade="BF"/>
    </w:rPr>
  </w:style>
  <w:style w:type="paragraph" w:styleId="IntenseQuote">
    <w:name w:val="Intense Quote"/>
    <w:basedOn w:val="Normal"/>
    <w:next w:val="Normal"/>
    <w:link w:val="IntenseQuoteChar"/>
    <w:uiPriority w:val="30"/>
    <w:qFormat/>
    <w:rsid w:val="00286F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6F35"/>
    <w:rPr>
      <w:i/>
      <w:iCs/>
      <w:color w:val="0F4761" w:themeColor="accent1" w:themeShade="BF"/>
    </w:rPr>
  </w:style>
  <w:style w:type="character" w:styleId="IntenseReference">
    <w:name w:val="Intense Reference"/>
    <w:basedOn w:val="DefaultParagraphFont"/>
    <w:uiPriority w:val="32"/>
    <w:qFormat/>
    <w:rsid w:val="00286F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Dalyn Visitisomsuk</cp:lastModifiedBy>
  <cp:revision>1</cp:revision>
  <dcterms:created xsi:type="dcterms:W3CDTF">2024-12-10T00:16:00Z</dcterms:created>
  <dcterms:modified xsi:type="dcterms:W3CDTF">2024-12-10T00:30:00Z</dcterms:modified>
</cp:coreProperties>
</file>